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6527A1">
      <w:pPr>
        <w:pStyle w:val="3"/>
        <w:keepNext w:val="0"/>
        <w:keepLines w:val="0"/>
        <w:pageBreakBefore w:val="0"/>
        <w:widowControl w:val="0"/>
        <w:kinsoku/>
        <w:wordWrap/>
        <w:overflowPunct/>
        <w:topLinePunct w:val="0"/>
        <w:bidi w:val="0"/>
        <w:spacing w:line="560" w:lineRule="exact"/>
        <w:ind w:left="0" w:leftChars="0" w:firstLine="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bookmarkStart w:id="0" w:name="_GoBack"/>
      <w:bookmarkEnd w:id="0"/>
    </w:p>
    <w:p w14:paraId="6EB51EFF">
      <w:pPr>
        <w:pStyle w:val="3"/>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sz w:val="32"/>
          <w:szCs w:val="32"/>
        </w:rPr>
      </w:pPr>
    </w:p>
    <w:p w14:paraId="34C3EC22">
      <w:pPr>
        <w:pStyle w:val="3"/>
        <w:keepNext w:val="0"/>
        <w:keepLines w:val="0"/>
        <w:pageBreakBefore w:val="0"/>
        <w:widowControl w:val="0"/>
        <w:kinsoku/>
        <w:wordWrap/>
        <w:overflowPunct/>
        <w:topLinePunct w:val="0"/>
        <w:autoSpaceDE w:val="0"/>
        <w:autoSpaceDN w:val="0"/>
        <w:bidi w:val="0"/>
        <w:adjustRightInd w:val="0"/>
        <w:snapToGrid w:val="0"/>
        <w:spacing w:line="70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新增慢特病病种办证条件</w:t>
      </w:r>
    </w:p>
    <w:p w14:paraId="633F3B37">
      <w:pPr>
        <w:pStyle w:val="3"/>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sz w:val="32"/>
          <w:szCs w:val="32"/>
        </w:rPr>
      </w:pPr>
    </w:p>
    <w:p w14:paraId="183A2CE2">
      <w:pPr>
        <w:pStyle w:val="3"/>
        <w:keepNext w:val="0"/>
        <w:keepLines w:val="0"/>
        <w:pageBreakBefore w:val="0"/>
        <w:widowControl w:val="0"/>
        <w:kinsoku/>
        <w:wordWrap/>
        <w:overflowPunct/>
        <w:topLinePunct w:val="0"/>
        <w:bidi w:val="0"/>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一、各类恶性肿瘤</w:t>
      </w:r>
    </w:p>
    <w:p w14:paraId="01F6A624">
      <w:pPr>
        <w:pStyle w:val="3"/>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1.经病理学或细胞学明确诊断。病理学或细胞学的诊断资料已超过2年，需提供近2年的放化疗资料；</w:t>
      </w:r>
    </w:p>
    <w:p w14:paraId="363FD2A2">
      <w:pPr>
        <w:pStyle w:val="3"/>
        <w:keepNext w:val="0"/>
        <w:keepLines w:val="0"/>
        <w:pageBreakBefore w:val="0"/>
        <w:widowControl w:val="0"/>
        <w:kinsoku/>
        <w:wordWrap/>
        <w:overflowPunct/>
        <w:topLinePunct w:val="0"/>
        <w:bidi w:val="0"/>
        <w:spacing w:line="560" w:lineRule="exact"/>
        <w:ind w:left="0" w:leftChars="0"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2.经血液学检查、骨髓检查、染色体基因检查等符合血液系统恶性肿瘤的诊断标准</w:t>
      </w:r>
      <w:r>
        <w:rPr>
          <w:rFonts w:hint="eastAsia" w:eastAsia="仿宋_GB2312" w:cs="Times New Roman"/>
          <w:sz w:val="32"/>
          <w:szCs w:val="32"/>
          <w:lang w:eastAsia="zh-CN"/>
        </w:rPr>
        <w:t>；</w:t>
      </w:r>
    </w:p>
    <w:p w14:paraId="02CFA249">
      <w:pPr>
        <w:pStyle w:val="3"/>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确因特殊原因未经病理学或细胞学诊断的，需认定机构专科副主任（含）以上医师签署诊断证明书和病情说明，并由参保地经办机构组织至少2家三级及以上医院有关科室专家，结合影像、肿瘤标记物等会审评估，会审通过后方可办理。</w:t>
      </w:r>
    </w:p>
    <w:p w14:paraId="4FCE18AA">
      <w:pPr>
        <w:pStyle w:val="3"/>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符合以上各项之一可办理。</w:t>
      </w:r>
    </w:p>
    <w:p w14:paraId="1B13AF1C">
      <w:pPr>
        <w:pStyle w:val="3"/>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二、血友病</w:t>
      </w:r>
    </w:p>
    <w:p w14:paraId="65F6243D">
      <w:pPr>
        <w:pStyle w:val="3"/>
        <w:keepNext w:val="0"/>
        <w:keepLines w:val="0"/>
        <w:pageBreakBefore w:val="0"/>
        <w:widowControl w:val="0"/>
        <w:kinsoku/>
        <w:wordWrap/>
        <w:overflowPunct/>
        <w:topLinePunct w:val="0"/>
        <w:bidi w:val="0"/>
        <w:spacing w:line="56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（一）血友病</w:t>
      </w:r>
    </w:p>
    <w:p w14:paraId="0E22F072">
      <w:pPr>
        <w:pStyle w:val="3"/>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1.经住院或门诊明确诊断重型血友病或中型血友病A或B；</w:t>
      </w:r>
    </w:p>
    <w:p w14:paraId="1595CB6E">
      <w:pPr>
        <w:pStyle w:val="3"/>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2.FⅧ（凝血因子8）或FⅨ（凝血因子9）活性水平≤5%。</w:t>
      </w:r>
    </w:p>
    <w:p w14:paraId="15DCF060">
      <w:pPr>
        <w:pStyle w:val="3"/>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以上同时具备可办理。</w:t>
      </w:r>
    </w:p>
    <w:p w14:paraId="437AA89F">
      <w:pPr>
        <w:pStyle w:val="3"/>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（二）血管性血友病</w:t>
      </w:r>
    </w:p>
    <w:p w14:paraId="7A738B3D">
      <w:pPr>
        <w:pStyle w:val="3"/>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1.经住院或门诊明确诊断为血管性血友病；</w:t>
      </w:r>
    </w:p>
    <w:p w14:paraId="10AA8300">
      <w:pPr>
        <w:pStyle w:val="3"/>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2.有自发性出血或外伤出血增多或围手术期出血增多史；</w:t>
      </w:r>
    </w:p>
    <w:p w14:paraId="1E8F1E5A">
      <w:pPr>
        <w:pStyle w:val="3"/>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3.血浆VWF水平＜30</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，无论有无出血症状</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有异常出血表现，VWF水平＜50</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w:t>
      </w:r>
    </w:p>
    <w:p w14:paraId="57EAC344">
      <w:pPr>
        <w:pStyle w:val="3"/>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以上同时具备可办理。</w:t>
      </w:r>
    </w:p>
    <w:p w14:paraId="2C85606D">
      <w:pPr>
        <w:pStyle w:val="3"/>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三、地中海贫血</w:t>
      </w:r>
    </w:p>
    <w:p w14:paraId="3755A4FD">
      <w:pPr>
        <w:pStyle w:val="3"/>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1.血常规呈小细胞低色素性贫血：Hb、MCV、MCH、MCHC均下降；</w:t>
      </w:r>
    </w:p>
    <w:p w14:paraId="66C25F86">
      <w:pPr>
        <w:pStyle w:val="3"/>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2.血红蛋白电泳、地中海贫血基因检测报告等支持地中海贫血诊断的报告单；</w:t>
      </w:r>
    </w:p>
    <w:p w14:paraId="3D1372FC">
      <w:pPr>
        <w:pStyle w:val="3"/>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3.经住院或门诊明确诊断为重型地中海贫血或经临床医师确认每年输血次数</w:t>
      </w:r>
      <w:r>
        <w:rPr>
          <w:rFonts w:hint="default" w:ascii="Arial" w:hAnsi="Arial" w:eastAsia="仿宋_GB2312" w:cs="Arial"/>
          <w:sz w:val="32"/>
          <w:szCs w:val="32"/>
        </w:rPr>
        <w:t>≥</w:t>
      </w:r>
      <w:r>
        <w:rPr>
          <w:rFonts w:hint="default" w:ascii="Times New Roman" w:hAnsi="Times New Roman" w:eastAsia="仿宋_GB2312" w:cs="Times New Roman"/>
          <w:sz w:val="32"/>
          <w:szCs w:val="32"/>
        </w:rPr>
        <w:t>6次（输血依赖）的中间型患者。</w:t>
      </w:r>
    </w:p>
    <w:p w14:paraId="016855F0">
      <w:pPr>
        <w:pStyle w:val="3"/>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同时具备以上条件可办理。</w:t>
      </w:r>
    </w:p>
    <w:p w14:paraId="28B2C913">
      <w:pPr>
        <w:pStyle w:val="3"/>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四、苯丙酮尿症（含四氢生物喋呤）</w:t>
      </w:r>
    </w:p>
    <w:p w14:paraId="297D9F1F">
      <w:pPr>
        <w:pStyle w:val="3"/>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1.血苯丙氨酸（Phe）浓度≥360umol/L，Phe与酪氨酸（Tyr）比值（Phe/Tyr）&gt;2；</w:t>
      </w:r>
    </w:p>
    <w:p w14:paraId="1417AAB3">
      <w:pPr>
        <w:pStyle w:val="3"/>
        <w:keepNext w:val="0"/>
        <w:keepLines w:val="0"/>
        <w:pageBreakBefore w:val="0"/>
        <w:widowControl w:val="0"/>
        <w:kinsoku/>
        <w:wordWrap/>
        <w:overflowPunct/>
        <w:topLinePunct w:val="0"/>
        <w:bidi w:val="0"/>
        <w:spacing w:line="560" w:lineRule="exact"/>
        <w:ind w:left="0" w:leftChars="0" w:firstLine="640" w:firstLineChars="200"/>
        <w:textAlignment w:val="auto"/>
        <w:rPr>
          <w:rFonts w:hint="eastAsia" w:eastAsia="仿宋_GB2312" w:cs="Times New Roman"/>
          <w:sz w:val="32"/>
          <w:szCs w:val="32"/>
          <w:lang w:eastAsia="zh-CN"/>
        </w:rPr>
      </w:pPr>
      <w:r>
        <w:rPr>
          <w:rFonts w:hint="default" w:ascii="Times New Roman" w:hAnsi="Times New Roman" w:eastAsia="仿宋_GB2312" w:cs="Times New Roman"/>
          <w:sz w:val="32"/>
          <w:szCs w:val="32"/>
        </w:rPr>
        <w:t>2.基因检测明确诊断</w:t>
      </w:r>
      <w:r>
        <w:rPr>
          <w:rFonts w:hint="eastAsia" w:eastAsia="仿宋_GB2312" w:cs="Times New Roman"/>
          <w:sz w:val="32"/>
          <w:szCs w:val="32"/>
          <w:lang w:eastAsia="zh-CN"/>
        </w:rPr>
        <w:t>；</w:t>
      </w:r>
    </w:p>
    <w:p w14:paraId="7A61FCEC">
      <w:pPr>
        <w:pStyle w:val="3"/>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3.0—18岁患者。</w:t>
      </w:r>
    </w:p>
    <w:p w14:paraId="2B9A9A22">
      <w:pPr>
        <w:pStyle w:val="3"/>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同时具备以上条件可办理。</w:t>
      </w:r>
    </w:p>
    <w:p w14:paraId="2D0753A5">
      <w:pPr>
        <w:pStyle w:val="3"/>
        <w:keepNext w:val="0"/>
        <w:keepLines w:val="0"/>
        <w:pageBreakBefore w:val="0"/>
        <w:widowControl w:val="0"/>
        <w:numPr>
          <w:ilvl w:val="0"/>
          <w:numId w:val="1"/>
        </w:numPr>
        <w:kinsoku/>
        <w:wordWrap/>
        <w:overflowPunct/>
        <w:topLinePunct w:val="0"/>
        <w:bidi w:val="0"/>
        <w:spacing w:line="560" w:lineRule="exact"/>
        <w:ind w:left="0" w:leftChars="0"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慢性肾脏病透析</w:t>
      </w:r>
    </w:p>
    <w:p w14:paraId="1BD0B6BF">
      <w:pPr>
        <w:pStyle w:val="4"/>
        <w:numPr>
          <w:ilvl w:val="0"/>
          <w:numId w:val="0"/>
        </w:numPr>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）血液透析、</w:t>
      </w:r>
      <w:r>
        <w:rPr>
          <w:rFonts w:hint="eastAsia" w:ascii="楷体_GB2312" w:hAnsi="楷体_GB2312" w:eastAsia="楷体_GB2312" w:cs="楷体_GB2312"/>
          <w:sz w:val="32"/>
          <w:szCs w:val="32"/>
          <w:lang w:val="en-US" w:eastAsia="zh-CN"/>
        </w:rPr>
        <w:t>腹膜透析</w:t>
      </w:r>
    </w:p>
    <w:p w14:paraId="0319A49F">
      <w:pPr>
        <w:pStyle w:val="3"/>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1.肾小球滤过率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EGFR</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＜15ml/min/1.73㎡；</w:t>
      </w:r>
    </w:p>
    <w:p w14:paraId="07788B58">
      <w:pPr>
        <w:pStyle w:val="3"/>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2.有近一年门诊或住院透析记录。</w:t>
      </w:r>
    </w:p>
    <w:p w14:paraId="4279CD1D">
      <w:pPr>
        <w:pStyle w:val="3"/>
        <w:keepNext w:val="0"/>
        <w:keepLines w:val="0"/>
        <w:pageBreakBefore w:val="0"/>
        <w:widowControl w:val="0"/>
        <w:kinsoku/>
        <w:wordWrap/>
        <w:overflowPunct/>
        <w:topLinePunct w:val="0"/>
        <w:bidi w:val="0"/>
        <w:spacing w:line="560" w:lineRule="exact"/>
        <w:ind w:left="0" w:leftChars="0"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同时具备以上条件可办理</w:t>
      </w:r>
      <w:r>
        <w:rPr>
          <w:rFonts w:hint="eastAsia" w:eastAsia="仿宋_GB2312" w:cs="Times New Roman"/>
          <w:sz w:val="32"/>
          <w:szCs w:val="32"/>
          <w:lang w:eastAsia="zh-CN"/>
        </w:rPr>
        <w:t>。</w:t>
      </w:r>
    </w:p>
    <w:p w14:paraId="2C20B2BC">
      <w:pPr>
        <w:pStyle w:val="4"/>
        <w:numPr>
          <w:ilvl w:val="0"/>
          <w:numId w:val="0"/>
        </w:numPr>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）血液滤过、血液灌流、腹膜平衡实验、</w:t>
      </w:r>
      <w:r>
        <w:rPr>
          <w:rFonts w:hint="eastAsia" w:ascii="楷体_GB2312" w:hAnsi="楷体_GB2312" w:eastAsia="楷体_GB2312" w:cs="楷体_GB2312"/>
          <w:sz w:val="32"/>
          <w:szCs w:val="32"/>
          <w:lang w:val="en-US" w:eastAsia="zh-CN"/>
        </w:rPr>
        <w:t>KT/V测定、更换腹膜透析短管、建立腹膜透析或血液透析通路</w:t>
      </w:r>
    </w:p>
    <w:p w14:paraId="129E7C3D">
      <w:pPr>
        <w:pStyle w:val="3"/>
        <w:keepNext w:val="0"/>
        <w:keepLines w:val="0"/>
        <w:pageBreakBefore w:val="0"/>
        <w:widowControl w:val="0"/>
        <w:kinsoku/>
        <w:wordWrap/>
        <w:overflowPunct/>
        <w:topLinePunct w:val="0"/>
        <w:bidi w:val="0"/>
        <w:spacing w:line="560" w:lineRule="exact"/>
        <w:ind w:left="0" w:leftChars="0"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1.肾小球滤过率（EGFR）＜15ml/min/1.73㎡；</w:t>
      </w:r>
    </w:p>
    <w:p w14:paraId="5F1C2521">
      <w:pPr>
        <w:pStyle w:val="3"/>
        <w:keepNext w:val="0"/>
        <w:keepLines w:val="0"/>
        <w:pageBreakBefore w:val="0"/>
        <w:widowControl w:val="0"/>
        <w:kinsoku/>
        <w:wordWrap/>
        <w:overflowPunct/>
        <w:topLinePunct w:val="0"/>
        <w:bidi w:val="0"/>
        <w:spacing w:line="560" w:lineRule="exact"/>
        <w:ind w:left="0" w:leftChars="0"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2.有需开展血液滤过或血液灌流或腹膜平衡实验或KT/V测定或更换腹膜透析短管或建立腹膜透析或血液透析通路的证明材料。</w:t>
      </w:r>
    </w:p>
    <w:p w14:paraId="183A2C88">
      <w:pPr>
        <w:pStyle w:val="3"/>
        <w:keepNext w:val="0"/>
        <w:keepLines w:val="0"/>
        <w:pageBreakBefore w:val="0"/>
        <w:widowControl w:val="0"/>
        <w:kinsoku/>
        <w:wordWrap/>
        <w:overflowPunct/>
        <w:topLinePunct w:val="0"/>
        <w:bidi w:val="0"/>
        <w:spacing w:line="560" w:lineRule="exact"/>
        <w:ind w:left="0" w:leftChars="0"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以上同时具备可办理。</w:t>
      </w:r>
    </w:p>
    <w:p w14:paraId="1CFAD0D5">
      <w:pPr>
        <w:pStyle w:val="3"/>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六、甲亢</w:t>
      </w:r>
    </w:p>
    <w:p w14:paraId="44030648">
      <w:pPr>
        <w:pStyle w:val="3"/>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1.经内分泌专科住院或门诊明确诊断；</w:t>
      </w:r>
    </w:p>
    <w:p w14:paraId="7F659D88">
      <w:pPr>
        <w:pStyle w:val="3"/>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2.TSH（促甲状腺激素）降低；</w:t>
      </w:r>
    </w:p>
    <w:p w14:paraId="2364A090">
      <w:pPr>
        <w:pStyle w:val="3"/>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3.FT3（游离T3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、FT4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游离T4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升高，或总T3、总T4升高；</w:t>
      </w:r>
    </w:p>
    <w:p w14:paraId="7C2FFD2F">
      <w:pPr>
        <w:pStyle w:val="3"/>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4.TrAb阳性；</w:t>
      </w:r>
    </w:p>
    <w:p w14:paraId="7A40601E">
      <w:pPr>
        <w:pStyle w:val="3"/>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5.甲状腺吸碘率提示吸碘功能高于正常。</w:t>
      </w:r>
    </w:p>
    <w:p w14:paraId="5C9415BC">
      <w:pPr>
        <w:pStyle w:val="3"/>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以上</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1、2、3</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为必备，加</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4</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或</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5</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可办理。</w:t>
      </w:r>
    </w:p>
    <w:p w14:paraId="17D8DF5B">
      <w:pPr>
        <w:keepNext w:val="0"/>
        <w:keepLines w:val="0"/>
        <w:pageBreakBefore w:val="0"/>
        <w:widowControl w:val="0"/>
        <w:kinsoku/>
        <w:wordWrap/>
        <w:overflowPunct/>
        <w:topLinePunct w:val="0"/>
        <w:bidi w:val="0"/>
        <w:spacing w:line="560" w:lineRule="exact"/>
        <w:textAlignment w:val="auto"/>
      </w:pPr>
    </w:p>
    <w:sectPr>
      <w:footerReference r:id="rId3" w:type="default"/>
      <w:pgSz w:w="11906" w:h="16838"/>
      <w:pgMar w:top="2098" w:right="1587" w:bottom="204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B1E1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323796">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E323796">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C57709"/>
    <w:multiLevelType w:val="singleLevel"/>
    <w:tmpl w:val="38C57709"/>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5N2UwMTUzM2YwNTEwNzFhNTI5ZDc3MzM3NWNjZjUifQ=="/>
  </w:docVars>
  <w:rsids>
    <w:rsidRoot w:val="00000000"/>
    <w:rsid w:val="2BF00202"/>
    <w:rsid w:val="2CEA357A"/>
    <w:rsid w:val="2FA57D18"/>
    <w:rsid w:val="5C7A5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autoSpaceDE w:val="0"/>
      <w:autoSpaceDN w:val="0"/>
      <w:jc w:val="left"/>
    </w:pPr>
    <w:rPr>
      <w:rFonts w:ascii="仿宋_GB2312" w:hAnsi="仿宋_GB2312" w:eastAsia="仿宋_GB2312" w:cs="仿宋_GB2312"/>
      <w:kern w:val="0"/>
      <w:sz w:val="32"/>
      <w:szCs w:val="32"/>
      <w:lang w:val="zh-CN" w:bidi="zh-CN"/>
    </w:rPr>
  </w:style>
  <w:style w:type="paragraph" w:customStyle="1" w:styleId="3">
    <w:name w:val="Char2 Char Char Char Char Char Char"/>
    <w:next w:val="4"/>
    <w:qFormat/>
    <w:uiPriority w:val="0"/>
    <w:pPr>
      <w:widowControl w:val="0"/>
      <w:autoSpaceDE w:val="0"/>
      <w:autoSpaceDN w:val="0"/>
      <w:adjustRightInd w:val="0"/>
      <w:snapToGrid w:val="0"/>
      <w:spacing w:line="360" w:lineRule="auto"/>
      <w:ind w:firstLine="200" w:firstLineChars="200"/>
      <w:jc w:val="both"/>
    </w:pPr>
    <w:rPr>
      <w:rFonts w:ascii="Times New Roman" w:hAnsi="Times New Roman" w:eastAsia="宋体" w:cs="Times New Roman"/>
      <w:color w:val="000000"/>
      <w:kern w:val="2"/>
      <w:sz w:val="24"/>
      <w:szCs w:val="22"/>
      <w:lang w:val="en-US" w:eastAsia="zh-CN" w:bidi="ar-SA"/>
    </w:rPr>
  </w:style>
  <w:style w:type="paragraph" w:styleId="4">
    <w:name w:val="footer"/>
    <w:basedOn w:val="1"/>
    <w:next w:val="1"/>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Body Text First Indent 21"/>
    <w:basedOn w:val="9"/>
    <w:next w:val="2"/>
    <w:qFormat/>
    <w:uiPriority w:val="99"/>
    <w:pPr>
      <w:ind w:left="0" w:firstLine="420"/>
    </w:pPr>
    <w:rPr>
      <w:rFonts w:ascii="仿宋_GB2312" w:eastAsia="仿宋_GB2312" w:cs="仿宋_GB2312"/>
      <w:sz w:val="32"/>
      <w:szCs w:val="32"/>
    </w:rPr>
  </w:style>
  <w:style w:type="paragraph" w:customStyle="1" w:styleId="9">
    <w:name w:val="Body Text Indent1"/>
    <w:basedOn w:val="1"/>
    <w:qFormat/>
    <w:uiPriority w:val="99"/>
    <w:pPr>
      <w:ind w:left="420" w:left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875</Words>
  <Characters>996</Characters>
  <Lines>0</Lines>
  <Paragraphs>0</Paragraphs>
  <TotalTime>3</TotalTime>
  <ScaleCrop>false</ScaleCrop>
  <LinksUpToDate>false</LinksUpToDate>
  <CharactersWithSpaces>996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2024-11-08T03:30:00Z</dcterms:created>
  <dc:creator>Administrator</dc:creator>
  <cp:lastModifiedBy>書言</cp:lastModifiedBy>
  <dcterms:modified xsi:type="dcterms:W3CDTF">2024-11-14T08:57:17Z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EA06A0275B0C41AAA1A197E82BB94521_13</vt:lpwstr>
  </property>
</Properties>
</file>